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DE" w:rsidRPr="00B878F2" w:rsidRDefault="001454DE" w:rsidP="002641D8">
      <w:pPr>
        <w:spacing w:after="0" w:line="240" w:lineRule="auto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1EA49D8D" wp14:editId="2C3CEB0A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5BE7" w:rsidRPr="00831E97" w:rsidRDefault="00315BE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315BE7" w:rsidRPr="00831E97" w:rsidRDefault="00315BE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315BE7" w:rsidRPr="00831E97" w:rsidRDefault="00315BE7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315BE7" w:rsidRPr="00831E97" w:rsidRDefault="00315BE7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2641D8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1788" w:rsidRPr="00B51788" w:rsidRDefault="00B51788" w:rsidP="002641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B4CA7" w:rsidRPr="00B878F2" w:rsidRDefault="00BB4CA7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3E3BCB" w:rsidP="002641D8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CE65F5" wp14:editId="2A2A2C31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3E3BCB" w:rsidRPr="00996EAD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3E3BCB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E3BCB" w:rsidRPr="00C40A67" w:rsidRDefault="003E3BCB" w:rsidP="003E3BC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2F7284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Ценовые (тарифные) последствия</w:t>
            </w:r>
          </w:p>
        </w:tc>
      </w:tr>
      <w:bookmarkEnd w:id="1"/>
      <w:bookmarkEnd w:id="2"/>
    </w:tbl>
    <w:p w:rsidR="001454DE" w:rsidRPr="00B878F2" w:rsidRDefault="001454DE" w:rsidP="002641D8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72F" w:rsidRDefault="009D472F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0017" w:rsidRPr="00B878F2" w:rsidRDefault="00790017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2A7850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BB4CA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1F2F7A" w:rsidRDefault="001454DE" w:rsidP="00264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190051" w:rsidRDefault="001454DE" w:rsidP="002641D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051" w:rsidRPr="003F3B75" w:rsidRDefault="001454DE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3F3B75">
        <w:fldChar w:fldCharType="begin"/>
      </w:r>
      <w:r w:rsidRPr="003F3B75">
        <w:instrText xml:space="preserve"> TOC \o "1-3" \h \z \u </w:instrText>
      </w:r>
      <w:r w:rsidRPr="003F3B75">
        <w:fldChar w:fldCharType="separate"/>
      </w:r>
      <w:hyperlink w:anchor="_Toc41749988" w:history="1">
        <w:r w:rsidR="00190051" w:rsidRPr="003F3B75">
          <w:rPr>
            <w:rStyle w:val="a9"/>
          </w:rPr>
          <w:t>1. Общие положения.</w:t>
        </w:r>
        <w:r w:rsidR="00190051" w:rsidRPr="003F3B75">
          <w:rPr>
            <w:webHidden/>
          </w:rPr>
          <w:tab/>
        </w:r>
        <w:r w:rsidR="00190051" w:rsidRPr="003F3B75">
          <w:rPr>
            <w:webHidden/>
          </w:rPr>
          <w:fldChar w:fldCharType="begin"/>
        </w:r>
        <w:r w:rsidR="00190051" w:rsidRPr="003F3B75">
          <w:rPr>
            <w:webHidden/>
          </w:rPr>
          <w:instrText xml:space="preserve"> PAGEREF _Toc41749988 \h </w:instrText>
        </w:r>
        <w:r w:rsidR="00190051" w:rsidRPr="003F3B75">
          <w:rPr>
            <w:webHidden/>
          </w:rPr>
        </w:r>
        <w:r w:rsidR="00190051" w:rsidRPr="003F3B75">
          <w:rPr>
            <w:webHidden/>
          </w:rPr>
          <w:fldChar w:fldCharType="separate"/>
        </w:r>
        <w:r w:rsidR="003E3BCB">
          <w:rPr>
            <w:webHidden/>
          </w:rPr>
          <w:t>3</w:t>
        </w:r>
        <w:r w:rsidR="00190051" w:rsidRPr="003F3B75">
          <w:rPr>
            <w:webHidden/>
          </w:rPr>
          <w:fldChar w:fldCharType="end"/>
        </w:r>
      </w:hyperlink>
    </w:p>
    <w:p w:rsidR="00190051" w:rsidRPr="003F3B75" w:rsidRDefault="00E04A41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41749989" w:history="1">
        <w:r w:rsidR="00190051" w:rsidRPr="003F3B75">
          <w:rPr>
            <w:rStyle w:val="a9"/>
          </w:rPr>
  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  </w:r>
        <w:r w:rsidR="00190051" w:rsidRPr="003F3B75">
          <w:rPr>
            <w:webHidden/>
          </w:rPr>
          <w:tab/>
        </w:r>
        <w:r w:rsidR="00190051" w:rsidRPr="003F3B75">
          <w:rPr>
            <w:webHidden/>
          </w:rPr>
          <w:fldChar w:fldCharType="begin"/>
        </w:r>
        <w:r w:rsidR="00190051" w:rsidRPr="003F3B75">
          <w:rPr>
            <w:webHidden/>
          </w:rPr>
          <w:instrText xml:space="preserve"> PAGEREF _Toc41749989 \h </w:instrText>
        </w:r>
        <w:r w:rsidR="00190051" w:rsidRPr="003F3B75">
          <w:rPr>
            <w:webHidden/>
          </w:rPr>
        </w:r>
        <w:r w:rsidR="00190051" w:rsidRPr="003F3B75">
          <w:rPr>
            <w:webHidden/>
          </w:rPr>
          <w:fldChar w:fldCharType="separate"/>
        </w:r>
        <w:r w:rsidR="003E3BCB">
          <w:rPr>
            <w:webHidden/>
          </w:rPr>
          <w:t>3</w:t>
        </w:r>
        <w:r w:rsidR="00190051" w:rsidRPr="003F3B75">
          <w:rPr>
            <w:webHidden/>
          </w:rPr>
          <w:fldChar w:fldCharType="end"/>
        </w:r>
      </w:hyperlink>
    </w:p>
    <w:p w:rsidR="001454DE" w:rsidRPr="004204BE" w:rsidRDefault="001454DE" w:rsidP="002641D8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F3B7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1F2F7A" w:rsidRDefault="001454DE" w:rsidP="002641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EB1B9E" w:rsidRDefault="00EB1B9E" w:rsidP="002641D8">
      <w:pPr>
        <w:pStyle w:val="1"/>
        <w:spacing w:line="240" w:lineRule="auto"/>
      </w:pPr>
      <w:bookmarkStart w:id="3" w:name="_Toc41749988"/>
      <w:r w:rsidRPr="00EB1B9E">
        <w:lastRenderedPageBreak/>
        <w:t>1</w:t>
      </w:r>
      <w:r>
        <w:t xml:space="preserve">. </w:t>
      </w:r>
      <w:r w:rsidR="00CD63F1">
        <w:t>Общие положения</w:t>
      </w:r>
      <w:bookmarkEnd w:id="3"/>
    </w:p>
    <w:p w:rsidR="0049448D" w:rsidRDefault="0049448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Потребители тепла муниципального округа оплачивают тепловую энергию по тарифам, установленным для каждой теплоснабжающей организации Региональной энергетической комиссии Кемеровской области.</w:t>
      </w:r>
    </w:p>
    <w:p w:rsidR="00CE740F" w:rsidRPr="00397906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97906">
        <w:rPr>
          <w:rFonts w:ascii="Times New Roman" w:hAnsi="Times New Roman" w:cs="Times New Roman"/>
          <w:color w:val="000000"/>
          <w:sz w:val="28"/>
          <w:szCs w:val="28"/>
        </w:rPr>
        <w:t>Ценовые последствия для потребителей тепловой энергии (тарифные после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ствия) были рассчитаны по методу экономически обоснованных расходов с учетом включения в тариф на тепловую энергии </w:t>
      </w:r>
      <w:r>
        <w:rPr>
          <w:rFonts w:ascii="Times New Roman" w:hAnsi="Times New Roman" w:cs="Times New Roman"/>
          <w:color w:val="000000"/>
          <w:sz w:val="28"/>
          <w:szCs w:val="28"/>
        </w:rPr>
        <w:t>всех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капитальных вложений (инвестиций) в строительство, рек</w:t>
      </w:r>
      <w:r>
        <w:rPr>
          <w:rFonts w:ascii="Times New Roman" w:hAnsi="Times New Roman" w:cs="Times New Roman"/>
          <w:color w:val="000000"/>
          <w:sz w:val="28"/>
          <w:szCs w:val="28"/>
        </w:rPr>
        <w:t>онструкцию и техническое перево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оружение систем теплосна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 xml:space="preserve">жения с </w:t>
      </w:r>
      <w:r>
        <w:rPr>
          <w:rFonts w:ascii="Times New Roman" w:hAnsi="Times New Roman" w:cs="Times New Roman"/>
          <w:color w:val="000000"/>
          <w:sz w:val="28"/>
          <w:szCs w:val="28"/>
        </w:rPr>
        <w:t>учетом предложенной схемы финан</w:t>
      </w:r>
      <w:r w:rsidRPr="00397906">
        <w:rPr>
          <w:rFonts w:ascii="Times New Roman" w:hAnsi="Times New Roman" w:cs="Times New Roman"/>
          <w:color w:val="000000"/>
          <w:sz w:val="28"/>
          <w:szCs w:val="28"/>
        </w:rPr>
        <w:t>сирования (с учетом инвестиционной надбавки)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E740F" w:rsidRDefault="00CE740F" w:rsidP="002854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1416" w:rsidRPr="002E1416" w:rsidRDefault="002E1416" w:rsidP="002641D8">
      <w:pPr>
        <w:pStyle w:val="1"/>
        <w:spacing w:line="240" w:lineRule="auto"/>
      </w:pPr>
      <w:bookmarkStart w:id="4" w:name="_Toc41749989"/>
      <w:r w:rsidRPr="002E1416">
        <w:t>2</w:t>
      </w:r>
      <w:r>
        <w:t xml:space="preserve">. </w:t>
      </w:r>
      <w:r w:rsidRPr="002E1416">
        <w:t xml:space="preserve">Результаты </w:t>
      </w:r>
      <w:r>
        <w:t>оценки</w:t>
      </w:r>
      <w:r w:rsidRPr="002E1416">
        <w:t xml:space="preserve"> ценовых последствий для потребителей при реал</w:t>
      </w:r>
      <w:r w:rsidRPr="002E1416">
        <w:t>и</w:t>
      </w:r>
      <w:r w:rsidRPr="002E1416">
        <w:t>зации программ строительства, реконструкции и технического перевооруж</w:t>
      </w:r>
      <w:r w:rsidRPr="002E1416">
        <w:t>е</w:t>
      </w:r>
      <w:r w:rsidRPr="002E1416">
        <w:t>ния систем теплоснабжении (без учета мероприятий по переводу потребителей на закрытую систему теплоснабжения)</w:t>
      </w:r>
      <w:bookmarkEnd w:id="4"/>
    </w:p>
    <w:p w:rsidR="002E1416" w:rsidRDefault="002E141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Расчеты тарифов на тепловую энергию выполнены в соответствии с требован</w:t>
      </w:r>
      <w:r w:rsidRPr="00242FA4">
        <w:rPr>
          <w:rFonts w:ascii="Times New Roman" w:hAnsi="Times New Roman" w:cs="Times New Roman"/>
          <w:sz w:val="28"/>
          <w:szCs w:val="28"/>
        </w:rPr>
        <w:t>и</w:t>
      </w:r>
      <w:r w:rsidRPr="00242FA4">
        <w:rPr>
          <w:rFonts w:ascii="Times New Roman" w:hAnsi="Times New Roman" w:cs="Times New Roman"/>
          <w:sz w:val="28"/>
          <w:szCs w:val="28"/>
        </w:rPr>
        <w:t>ями законодательства: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Федеральный Закон № 190-ФЗ от 27.07.2010 г. "О теплоснабжении ";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Основы ценообразования в сфере теплоснабжения, утвержденные постано</w:t>
      </w:r>
      <w:r w:rsidRPr="00242FA4">
        <w:rPr>
          <w:rFonts w:ascii="Times New Roman" w:hAnsi="Times New Roman" w:cs="Times New Roman"/>
          <w:sz w:val="28"/>
          <w:szCs w:val="28"/>
        </w:rPr>
        <w:t>в</w:t>
      </w:r>
      <w:r w:rsidRPr="00242FA4">
        <w:rPr>
          <w:rFonts w:ascii="Times New Roman" w:hAnsi="Times New Roman" w:cs="Times New Roman"/>
          <w:sz w:val="28"/>
          <w:szCs w:val="28"/>
        </w:rPr>
        <w:t>лением Правительства Российской Федерации от 22.10.2012 г. № 1075;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− Методические указания по расчету регулируемых цен (тарифов) в сфере те</w:t>
      </w:r>
      <w:r w:rsidRPr="00242FA4">
        <w:rPr>
          <w:rFonts w:ascii="Times New Roman" w:hAnsi="Times New Roman" w:cs="Times New Roman"/>
          <w:sz w:val="28"/>
          <w:szCs w:val="28"/>
        </w:rPr>
        <w:t>п</w:t>
      </w:r>
      <w:r w:rsidRPr="00242FA4">
        <w:rPr>
          <w:rFonts w:ascii="Times New Roman" w:hAnsi="Times New Roman" w:cs="Times New Roman"/>
          <w:sz w:val="28"/>
          <w:szCs w:val="28"/>
        </w:rPr>
        <w:t>лоснабжения, утвержденные Приказом ФСТ России от 13.06.2013 г. № 760-э.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 выполнен по теплоснабжающим предприятиям. Ценовые последствия для потребителей тепловой энергии определены отношением показателя необход</w:t>
      </w:r>
      <w:r w:rsidRPr="00242FA4">
        <w:rPr>
          <w:rFonts w:ascii="Times New Roman" w:hAnsi="Times New Roman" w:cs="Times New Roman"/>
          <w:sz w:val="28"/>
          <w:szCs w:val="28"/>
        </w:rPr>
        <w:t>и</w:t>
      </w:r>
      <w:r w:rsidRPr="00242FA4">
        <w:rPr>
          <w:rFonts w:ascii="Times New Roman" w:hAnsi="Times New Roman" w:cs="Times New Roman"/>
          <w:sz w:val="28"/>
          <w:szCs w:val="28"/>
        </w:rPr>
        <w:t>мой валовой выручки (НВВ), отнесенной к полезному отпуску, в течение расчетных периодов Схемы теплоснабжения.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Данный показатель отражает изменения следующих расходов: операционных (подконтрольных), неподконтрольных, энергетических и расходов из прибыли, св</w:t>
      </w:r>
      <w:r w:rsidRPr="00242FA4">
        <w:rPr>
          <w:rFonts w:ascii="Times New Roman" w:hAnsi="Times New Roman" w:cs="Times New Roman"/>
          <w:sz w:val="28"/>
          <w:szCs w:val="28"/>
        </w:rPr>
        <w:t>я</w:t>
      </w:r>
      <w:r w:rsidRPr="00242FA4">
        <w:rPr>
          <w:rFonts w:ascii="Times New Roman" w:hAnsi="Times New Roman" w:cs="Times New Roman"/>
          <w:sz w:val="28"/>
          <w:szCs w:val="28"/>
        </w:rPr>
        <w:t>занных с производством и передачей тепловой энергии потребителям.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Расчеты ценовых последствий произведены с учетом следующих сценарных условий: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1. За базу приняты тарифные решения на 202</w:t>
      </w:r>
      <w:r w:rsidR="00BB4C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202</w:t>
      </w:r>
      <w:r w:rsidR="00BB4CA7">
        <w:rPr>
          <w:rFonts w:ascii="Times New Roman" w:hAnsi="Times New Roman" w:cs="Times New Roman"/>
          <w:sz w:val="28"/>
          <w:szCs w:val="28"/>
        </w:rPr>
        <w:t>3</w:t>
      </w:r>
      <w:r w:rsidRPr="00242FA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242FA4">
        <w:rPr>
          <w:rFonts w:ascii="Times New Roman" w:hAnsi="Times New Roman" w:cs="Times New Roman"/>
          <w:sz w:val="28"/>
          <w:szCs w:val="28"/>
        </w:rPr>
        <w:t>, утвержденные Реги</w:t>
      </w:r>
      <w:r w:rsidRPr="00242FA4">
        <w:rPr>
          <w:rFonts w:ascii="Times New Roman" w:hAnsi="Times New Roman" w:cs="Times New Roman"/>
          <w:sz w:val="28"/>
          <w:szCs w:val="28"/>
        </w:rPr>
        <w:t>о</w:t>
      </w:r>
      <w:r w:rsidRPr="00242FA4">
        <w:rPr>
          <w:rFonts w:ascii="Times New Roman" w:hAnsi="Times New Roman" w:cs="Times New Roman"/>
          <w:sz w:val="28"/>
          <w:szCs w:val="28"/>
        </w:rPr>
        <w:t>нальной энергетической комиссией Кемеровской области.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42FA4">
        <w:rPr>
          <w:rFonts w:ascii="Times New Roman" w:hAnsi="Times New Roman" w:cs="Times New Roman"/>
          <w:sz w:val="28"/>
          <w:szCs w:val="28"/>
        </w:rPr>
        <w:t>Расчет операционных (подконтрольных) расходов до 203</w:t>
      </w:r>
      <w:r w:rsidR="003E3BCB">
        <w:rPr>
          <w:rFonts w:ascii="Times New Roman" w:hAnsi="Times New Roman" w:cs="Times New Roman"/>
          <w:sz w:val="28"/>
          <w:szCs w:val="28"/>
        </w:rPr>
        <w:t>4</w:t>
      </w:r>
      <w:r w:rsidRPr="00242FA4">
        <w:rPr>
          <w:rFonts w:ascii="Times New Roman" w:hAnsi="Times New Roman" w:cs="Times New Roman"/>
          <w:sz w:val="28"/>
          <w:szCs w:val="28"/>
        </w:rPr>
        <w:t xml:space="preserve"> г. произведен с применением прогнозных индексов изменения цен в соответствии с Прогнозом и</w:t>
      </w:r>
      <w:r w:rsidRPr="00242FA4">
        <w:rPr>
          <w:rFonts w:ascii="Times New Roman" w:hAnsi="Times New Roman" w:cs="Times New Roman"/>
          <w:sz w:val="28"/>
          <w:szCs w:val="28"/>
        </w:rPr>
        <w:t>н</w:t>
      </w:r>
      <w:r w:rsidRPr="00242FA4">
        <w:rPr>
          <w:rFonts w:ascii="Times New Roman" w:hAnsi="Times New Roman" w:cs="Times New Roman"/>
          <w:sz w:val="28"/>
          <w:szCs w:val="28"/>
        </w:rPr>
        <w:t>дексов дефляторов и индексов цен производителей по видам экономической де</w:t>
      </w:r>
      <w:r w:rsidRPr="00242FA4">
        <w:rPr>
          <w:rFonts w:ascii="Times New Roman" w:hAnsi="Times New Roman" w:cs="Times New Roman"/>
          <w:sz w:val="28"/>
          <w:szCs w:val="28"/>
        </w:rPr>
        <w:t>я</w:t>
      </w:r>
      <w:r w:rsidRPr="00242FA4">
        <w:rPr>
          <w:rFonts w:ascii="Times New Roman" w:hAnsi="Times New Roman" w:cs="Times New Roman"/>
          <w:sz w:val="28"/>
          <w:szCs w:val="28"/>
        </w:rPr>
        <w:t xml:space="preserve">тельности </w:t>
      </w:r>
      <w:r w:rsidR="00BB4CA7" w:rsidRPr="00BE167A">
        <w:rPr>
          <w:rFonts w:ascii="Times New Roman" w:hAnsi="Times New Roman" w:cs="Times New Roman"/>
          <w:sz w:val="28"/>
          <w:szCs w:val="28"/>
        </w:rPr>
        <w:t>до 202</w:t>
      </w:r>
      <w:r w:rsidR="00BB4CA7">
        <w:rPr>
          <w:rFonts w:ascii="Times New Roman" w:hAnsi="Times New Roman" w:cs="Times New Roman"/>
          <w:sz w:val="28"/>
          <w:szCs w:val="28"/>
        </w:rPr>
        <w:t>5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г. (Письмо Минэкономразвития России от </w:t>
      </w:r>
      <w:r w:rsidR="00BB4CA7">
        <w:rPr>
          <w:rFonts w:ascii="Times New Roman" w:hAnsi="Times New Roman" w:cs="Times New Roman"/>
          <w:sz w:val="28"/>
          <w:szCs w:val="28"/>
        </w:rPr>
        <w:t>28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</w:t>
      </w:r>
      <w:r w:rsidR="00BB4CA7">
        <w:rPr>
          <w:rFonts w:ascii="Times New Roman" w:hAnsi="Times New Roman" w:cs="Times New Roman"/>
          <w:sz w:val="28"/>
          <w:szCs w:val="28"/>
        </w:rPr>
        <w:t>сентября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202</w:t>
      </w:r>
      <w:r w:rsidR="00BB4CA7">
        <w:rPr>
          <w:rFonts w:ascii="Times New Roman" w:hAnsi="Times New Roman" w:cs="Times New Roman"/>
          <w:sz w:val="28"/>
          <w:szCs w:val="28"/>
        </w:rPr>
        <w:t>2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г. № </w:t>
      </w:r>
      <w:r w:rsidR="00BB4CA7">
        <w:rPr>
          <w:rFonts w:ascii="Times New Roman" w:hAnsi="Times New Roman" w:cs="Times New Roman"/>
          <w:sz w:val="28"/>
          <w:szCs w:val="28"/>
        </w:rPr>
        <w:t>36804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-ПК/Д03и "О </w:t>
      </w:r>
      <w:r w:rsidR="00BB4CA7">
        <w:rPr>
          <w:rFonts w:ascii="Times New Roman" w:hAnsi="Times New Roman" w:cs="Times New Roman"/>
          <w:sz w:val="28"/>
          <w:szCs w:val="28"/>
        </w:rPr>
        <w:t>применении</w:t>
      </w:r>
      <w:r w:rsidR="00BB4CA7" w:rsidRPr="00BE167A">
        <w:rPr>
          <w:rFonts w:ascii="Times New Roman" w:hAnsi="Times New Roman" w:cs="Times New Roman"/>
          <w:sz w:val="28"/>
          <w:szCs w:val="28"/>
        </w:rPr>
        <w:t xml:space="preserve"> показателей прогноза социально-экономического развития Российской Федерации в целях ценообразования на продукцию, поставл</w:t>
      </w:r>
      <w:r w:rsidR="00BB4CA7" w:rsidRPr="00BE167A">
        <w:rPr>
          <w:rFonts w:ascii="Times New Roman" w:hAnsi="Times New Roman" w:cs="Times New Roman"/>
          <w:sz w:val="28"/>
          <w:szCs w:val="28"/>
        </w:rPr>
        <w:t>я</w:t>
      </w:r>
      <w:r w:rsidR="00BB4CA7" w:rsidRPr="00BE167A">
        <w:rPr>
          <w:rFonts w:ascii="Times New Roman" w:hAnsi="Times New Roman" w:cs="Times New Roman"/>
          <w:sz w:val="28"/>
          <w:szCs w:val="28"/>
        </w:rPr>
        <w:t>емую по государственному оборонному заказу")</w:t>
      </w:r>
      <w:r w:rsidR="00BB4C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3. Расчет неподконтрольных расходов на </w:t>
      </w:r>
      <w:r>
        <w:rPr>
          <w:rFonts w:ascii="Times New Roman" w:hAnsi="Times New Roman" w:cs="Times New Roman"/>
          <w:sz w:val="28"/>
          <w:szCs w:val="28"/>
        </w:rPr>
        <w:t>рассматриваемый период</w:t>
      </w:r>
      <w:r w:rsidRPr="00242FA4">
        <w:rPr>
          <w:rFonts w:ascii="Times New Roman" w:hAnsi="Times New Roman" w:cs="Times New Roman"/>
          <w:sz w:val="28"/>
          <w:szCs w:val="28"/>
        </w:rPr>
        <w:t xml:space="preserve"> в части амортизационных отчислений, налога на имущество, расходы на выплаты по кр</w:t>
      </w:r>
      <w:r w:rsidRPr="00242FA4">
        <w:rPr>
          <w:rFonts w:ascii="Times New Roman" w:hAnsi="Times New Roman" w:cs="Times New Roman"/>
          <w:sz w:val="28"/>
          <w:szCs w:val="28"/>
        </w:rPr>
        <w:t>е</w:t>
      </w:r>
      <w:r w:rsidRPr="00242FA4">
        <w:rPr>
          <w:rFonts w:ascii="Times New Roman" w:hAnsi="Times New Roman" w:cs="Times New Roman"/>
          <w:sz w:val="28"/>
          <w:szCs w:val="28"/>
        </w:rPr>
        <w:t>дитным договорам произведен с учетом реализации мероприятий, предусмотренных в Схеме теплоснабжения и ограничений роста платы граждан.</w:t>
      </w:r>
    </w:p>
    <w:p w:rsidR="00CE740F" w:rsidRPr="00242FA4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>4. Расчет энергетических ресурсов произведен с учетом физических показат</w:t>
      </w:r>
      <w:r w:rsidRPr="00242FA4">
        <w:rPr>
          <w:rFonts w:ascii="Times New Roman" w:hAnsi="Times New Roman" w:cs="Times New Roman"/>
          <w:sz w:val="28"/>
          <w:szCs w:val="28"/>
        </w:rPr>
        <w:t>е</w:t>
      </w:r>
      <w:r w:rsidRPr="00242FA4">
        <w:rPr>
          <w:rFonts w:ascii="Times New Roman" w:hAnsi="Times New Roman" w:cs="Times New Roman"/>
          <w:sz w:val="28"/>
          <w:szCs w:val="28"/>
        </w:rPr>
        <w:lastRenderedPageBreak/>
        <w:t>лей и прогнозируемых эффектов от реализации мероприятий.</w:t>
      </w:r>
    </w:p>
    <w:p w:rsidR="00CE740F" w:rsidRPr="004204BE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FA4">
        <w:rPr>
          <w:rFonts w:ascii="Times New Roman" w:hAnsi="Times New Roman" w:cs="Times New Roman"/>
          <w:sz w:val="28"/>
          <w:szCs w:val="28"/>
        </w:rPr>
        <w:t xml:space="preserve">5. Расходы из прибыли на </w:t>
      </w:r>
      <w:r>
        <w:rPr>
          <w:rFonts w:ascii="Times New Roman" w:hAnsi="Times New Roman" w:cs="Times New Roman"/>
          <w:sz w:val="28"/>
          <w:szCs w:val="28"/>
        </w:rPr>
        <w:t>рассматриваемый период</w:t>
      </w:r>
      <w:r w:rsidRPr="00242FA4">
        <w:rPr>
          <w:rFonts w:ascii="Times New Roman" w:hAnsi="Times New Roman" w:cs="Times New Roman"/>
          <w:sz w:val="28"/>
          <w:szCs w:val="28"/>
        </w:rPr>
        <w:t xml:space="preserve"> определены с учетом ра</w:t>
      </w:r>
      <w:r w:rsidRPr="00242FA4">
        <w:rPr>
          <w:rFonts w:ascii="Times New Roman" w:hAnsi="Times New Roman" w:cs="Times New Roman"/>
          <w:sz w:val="28"/>
          <w:szCs w:val="28"/>
        </w:rPr>
        <w:t>с</w:t>
      </w:r>
      <w:r w:rsidRPr="00242FA4">
        <w:rPr>
          <w:rFonts w:ascii="Times New Roman" w:hAnsi="Times New Roman" w:cs="Times New Roman"/>
          <w:sz w:val="28"/>
          <w:szCs w:val="28"/>
        </w:rPr>
        <w:t xml:space="preserve">чета размера прибыли, </w:t>
      </w:r>
      <w:r w:rsidRPr="004204BE">
        <w:rPr>
          <w:rFonts w:ascii="Times New Roman" w:hAnsi="Times New Roman" w:cs="Times New Roman"/>
          <w:sz w:val="28"/>
          <w:szCs w:val="28"/>
        </w:rPr>
        <w:t>направленной на капитальные вложения (инвестиции).</w:t>
      </w:r>
    </w:p>
    <w:p w:rsidR="00CE740F" w:rsidRPr="004204BE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04BE">
        <w:rPr>
          <w:rFonts w:ascii="Times New Roman" w:hAnsi="Times New Roman" w:cs="Times New Roman"/>
          <w:sz w:val="28"/>
          <w:szCs w:val="28"/>
        </w:rPr>
        <w:t>6. Объем полезного отпуска на рассматриваемый период определен расчетным путем с учетом приростов перспективной нагрузки и требований энергосбережения.</w:t>
      </w: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04BE">
        <w:rPr>
          <w:rFonts w:ascii="Times New Roman" w:hAnsi="Times New Roman" w:cs="Times New Roman"/>
          <w:sz w:val="28"/>
          <w:szCs w:val="28"/>
        </w:rPr>
        <w:t>Результаты оценки ценовых (тарифных) последствий реализации проектов сх</w:t>
      </w:r>
      <w:r w:rsidRPr="004204BE">
        <w:rPr>
          <w:rFonts w:ascii="Times New Roman" w:hAnsi="Times New Roman" w:cs="Times New Roman"/>
          <w:sz w:val="28"/>
          <w:szCs w:val="28"/>
        </w:rPr>
        <w:t>е</w:t>
      </w:r>
      <w:r w:rsidRPr="004204BE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Pr="004204BE">
        <w:rPr>
          <w:rFonts w:ascii="Times New Roman" w:hAnsi="Times New Roman" w:cs="Times New Roman"/>
          <w:sz w:val="28"/>
          <w:szCs w:val="28"/>
        </w:rPr>
        <w:t>теплоснабжения</w:t>
      </w:r>
      <w:proofErr w:type="gramEnd"/>
      <w:r w:rsidRPr="004204BE">
        <w:rPr>
          <w:rFonts w:ascii="Times New Roman" w:hAnsi="Times New Roman" w:cs="Times New Roman"/>
          <w:sz w:val="28"/>
          <w:szCs w:val="28"/>
        </w:rPr>
        <w:t xml:space="preserve"> на основании разработанных тарифно-балансовых моделей ТСО (Схема теплоснабжения</w:t>
      </w:r>
      <w:r w:rsidR="003E3BCB">
        <w:rPr>
          <w:rFonts w:ascii="Times New Roman" w:hAnsi="Times New Roman" w:cs="Times New Roman"/>
          <w:sz w:val="28"/>
          <w:szCs w:val="28"/>
        </w:rPr>
        <w:t xml:space="preserve"> Кемеровского муниципального округа</w:t>
      </w:r>
      <w:r w:rsidRPr="004204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04BE">
        <w:rPr>
          <w:rFonts w:ascii="Times New Roman" w:hAnsi="Times New Roman" w:cs="Times New Roman"/>
          <w:sz w:val="28"/>
          <w:szCs w:val="28"/>
        </w:rPr>
        <w:t>Утверждаемая часть) приведены в таблиц</w:t>
      </w:r>
      <w:r w:rsidR="003E3BCB">
        <w:rPr>
          <w:rFonts w:ascii="Times New Roman" w:hAnsi="Times New Roman" w:cs="Times New Roman"/>
          <w:sz w:val="28"/>
          <w:szCs w:val="28"/>
        </w:rPr>
        <w:t>ах</w:t>
      </w:r>
      <w:r w:rsidRPr="004204BE">
        <w:rPr>
          <w:rFonts w:ascii="Times New Roman" w:hAnsi="Times New Roman" w:cs="Times New Roman"/>
          <w:sz w:val="28"/>
          <w:szCs w:val="28"/>
        </w:rPr>
        <w:t xml:space="preserve"> 1</w:t>
      </w:r>
      <w:r w:rsidR="003E3BCB">
        <w:rPr>
          <w:rFonts w:ascii="Times New Roman" w:hAnsi="Times New Roman" w:cs="Times New Roman"/>
          <w:sz w:val="28"/>
          <w:szCs w:val="28"/>
        </w:rPr>
        <w:t>, 2</w:t>
      </w:r>
      <w:r w:rsidRPr="004204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3BCB" w:rsidRDefault="003E3BCB" w:rsidP="003E3B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отсутствием данных, т</w:t>
      </w:r>
      <w:r w:rsidRPr="006F1BC8">
        <w:rPr>
          <w:rFonts w:ascii="Times New Roman" w:eastAsia="Calibri" w:hAnsi="Times New Roman" w:cs="Times New Roman"/>
          <w:sz w:val="28"/>
          <w:szCs w:val="28"/>
        </w:rPr>
        <w:t>арифно-балансовая модель отпуска тепловой энергии в зоне деятельности ЕТО №00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F1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ООО "НТСК" не может быть рассчитана.</w:t>
      </w:r>
    </w:p>
    <w:p w:rsidR="00CE740F" w:rsidRDefault="00CE740F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E740F" w:rsidSect="003F3B75">
          <w:headerReference w:type="default" r:id="rId12"/>
          <w:footerReference w:type="default" r:id="rId13"/>
          <w:pgSz w:w="11906" w:h="16838"/>
          <w:pgMar w:top="567" w:right="567" w:bottom="709" w:left="1134" w:header="142" w:footer="709" w:gutter="0"/>
          <w:cols w:space="708"/>
          <w:docGrid w:linePitch="360"/>
        </w:sectPr>
      </w:pPr>
    </w:p>
    <w:p w:rsidR="00CE740F" w:rsidRPr="004204BE" w:rsidRDefault="00CE740F" w:rsidP="00CE74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Таблица 1.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Результаты расчета тарифа на тепловую энергию в зоне деятельности ЕТО №001 </w:t>
      </w:r>
      <w:r w:rsidR="003E3BC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МКП "ЭнергоРесурс КМО"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с учетом предложений по техническому перевооружению, руб./Гкал (без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19"/>
        <w:gridCol w:w="919"/>
        <w:gridCol w:w="919"/>
        <w:gridCol w:w="919"/>
        <w:gridCol w:w="919"/>
        <w:gridCol w:w="919"/>
        <w:gridCol w:w="918"/>
        <w:gridCol w:w="918"/>
        <w:gridCol w:w="918"/>
        <w:gridCol w:w="918"/>
        <w:gridCol w:w="918"/>
        <w:gridCol w:w="918"/>
      </w:tblGrid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Показатели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2023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2030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2031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2032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2033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2034</w:t>
            </w:r>
          </w:p>
        </w:tc>
      </w:tr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 на тепловую энергию, реализуемую на потребительском рынке, с учетом инвестиц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онной составляющей</w:t>
            </w:r>
          </w:p>
        </w:tc>
        <w:tc>
          <w:tcPr>
            <w:tcW w:w="291" w:type="pct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4357,4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4525,3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4717,3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4588,4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4726,8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4870,4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5019,3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5173,8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5334,0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5500,2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5672,6</w:t>
            </w:r>
          </w:p>
        </w:tc>
      </w:tr>
    </w:tbl>
    <w:p w:rsidR="00E674D6" w:rsidRDefault="00E674D6" w:rsidP="00CE74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BCB" w:rsidRPr="004204BE" w:rsidRDefault="003E3BCB" w:rsidP="003E3B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420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Результаты расчета тарифа на тепловую энергию в зоне деятельности ЕТО №00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АО "Теплоэнерго"</w:t>
      </w:r>
      <w:r w:rsidRPr="004204B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с учетом предложений по техническому перевооружению, руб./Гкал (без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19"/>
        <w:gridCol w:w="919"/>
        <w:gridCol w:w="919"/>
        <w:gridCol w:w="919"/>
        <w:gridCol w:w="919"/>
        <w:gridCol w:w="919"/>
        <w:gridCol w:w="918"/>
        <w:gridCol w:w="918"/>
        <w:gridCol w:w="918"/>
        <w:gridCol w:w="918"/>
        <w:gridCol w:w="918"/>
        <w:gridCol w:w="918"/>
      </w:tblGrid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Показатели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2023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2027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2028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2029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2030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2031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2032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2033</w:t>
            </w:r>
          </w:p>
        </w:tc>
        <w:tc>
          <w:tcPr>
            <w:tcW w:w="291" w:type="pct"/>
            <w:shd w:val="clear" w:color="000000" w:fill="FFFFFF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2034</w:t>
            </w:r>
          </w:p>
        </w:tc>
      </w:tr>
      <w:tr w:rsidR="00E04A41" w:rsidRPr="00E04A41" w:rsidTr="0053414D">
        <w:trPr>
          <w:trHeight w:val="20"/>
        </w:trPr>
        <w:tc>
          <w:tcPr>
            <w:tcW w:w="1507" w:type="pct"/>
            <w:shd w:val="clear" w:color="000000" w:fill="FFFFFF"/>
            <w:vAlign w:val="center"/>
            <w:hideMark/>
          </w:tcPr>
          <w:p w:rsidR="00E04A41" w:rsidRPr="00E04A41" w:rsidRDefault="00E04A41" w:rsidP="00E0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 на тепловую энергию, реализуемую на потребительском рынке, с учетом инвестиц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онной составляющей</w:t>
            </w:r>
          </w:p>
        </w:tc>
        <w:tc>
          <w:tcPr>
            <w:tcW w:w="291" w:type="pct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4175,7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4263,9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4368,4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4476,5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4588,4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4704,3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4824,1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4948,2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5076,5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5209,4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5346,9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E04A41" w:rsidRPr="00E04A41" w:rsidRDefault="00E04A41" w:rsidP="00E0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5489,3</w:t>
            </w:r>
          </w:p>
        </w:tc>
      </w:tr>
    </w:tbl>
    <w:p w:rsidR="003E3BCB" w:rsidRPr="00E674D6" w:rsidRDefault="003E3BCB" w:rsidP="003E3B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3E3BCB" w:rsidRPr="00E674D6" w:rsidSect="003F3B75">
      <w:pgSz w:w="16838" w:h="11906" w:orient="landscape"/>
      <w:pgMar w:top="1134" w:right="567" w:bottom="567" w:left="709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E7" w:rsidRDefault="00315BE7" w:rsidP="001454DE">
      <w:pPr>
        <w:spacing w:after="0" w:line="240" w:lineRule="auto"/>
      </w:pPr>
      <w:r>
        <w:separator/>
      </w:r>
    </w:p>
  </w:endnote>
  <w:endnote w:type="continuationSeparator" w:id="0">
    <w:p w:rsidR="00315BE7" w:rsidRDefault="00315BE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Default="00315BE7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315BE7" w:rsidRDefault="00315BE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Default="00315BE7" w:rsidP="007B6140">
    <w:pPr>
      <w:pStyle w:val="a6"/>
      <w:framePr w:wrap="around" w:vAnchor="text" w:hAnchor="margin" w:xAlign="right" w:y="1"/>
      <w:rPr>
        <w:rStyle w:val="a8"/>
      </w:rPr>
    </w:pPr>
  </w:p>
  <w:p w:rsidR="00315BE7" w:rsidRDefault="00315BE7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Pr="007B4D8B" w:rsidRDefault="00315BE7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E04A41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E7" w:rsidRDefault="00315BE7" w:rsidP="001454DE">
      <w:pPr>
        <w:spacing w:after="0" w:line="240" w:lineRule="auto"/>
      </w:pPr>
      <w:r>
        <w:separator/>
      </w:r>
    </w:p>
  </w:footnote>
  <w:footnote w:type="continuationSeparator" w:id="0">
    <w:p w:rsidR="00315BE7" w:rsidRDefault="00315BE7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BE7" w:rsidRPr="00844EE3" w:rsidRDefault="00315BE7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1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14"/>
  </w:num>
  <w:num w:numId="4">
    <w:abstractNumId w:val="32"/>
  </w:num>
  <w:num w:numId="5">
    <w:abstractNumId w:val="37"/>
  </w:num>
  <w:num w:numId="6">
    <w:abstractNumId w:val="1"/>
  </w:num>
  <w:num w:numId="7">
    <w:abstractNumId w:val="21"/>
  </w:num>
  <w:num w:numId="8">
    <w:abstractNumId w:val="35"/>
  </w:num>
  <w:num w:numId="9">
    <w:abstractNumId w:val="2"/>
  </w:num>
  <w:num w:numId="10">
    <w:abstractNumId w:val="24"/>
  </w:num>
  <w:num w:numId="11">
    <w:abstractNumId w:val="26"/>
  </w:num>
  <w:num w:numId="12">
    <w:abstractNumId w:val="36"/>
  </w:num>
  <w:num w:numId="13">
    <w:abstractNumId w:val="10"/>
  </w:num>
  <w:num w:numId="14">
    <w:abstractNumId w:val="7"/>
  </w:num>
  <w:num w:numId="15">
    <w:abstractNumId w:val="12"/>
  </w:num>
  <w:num w:numId="16">
    <w:abstractNumId w:val="23"/>
  </w:num>
  <w:num w:numId="17">
    <w:abstractNumId w:val="13"/>
  </w:num>
  <w:num w:numId="18">
    <w:abstractNumId w:val="17"/>
  </w:num>
  <w:num w:numId="19">
    <w:abstractNumId w:val="25"/>
  </w:num>
  <w:num w:numId="20">
    <w:abstractNumId w:val="0"/>
  </w:num>
  <w:num w:numId="21">
    <w:abstractNumId w:val="27"/>
  </w:num>
  <w:num w:numId="22">
    <w:abstractNumId w:val="39"/>
  </w:num>
  <w:num w:numId="23">
    <w:abstractNumId w:val="2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5"/>
  </w:num>
  <w:num w:numId="28">
    <w:abstractNumId w:val="1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0"/>
  </w:num>
  <w:num w:numId="33">
    <w:abstractNumId w:val="5"/>
  </w:num>
  <w:num w:numId="34">
    <w:abstractNumId w:val="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"/>
  </w:num>
  <w:num w:numId="38">
    <w:abstractNumId w:val="4"/>
  </w:num>
  <w:num w:numId="39">
    <w:abstractNumId w:val="19"/>
  </w:num>
  <w:num w:numId="40">
    <w:abstractNumId w:val="28"/>
  </w:num>
  <w:num w:numId="41">
    <w:abstractNumId w:val="11"/>
  </w:num>
  <w:num w:numId="42">
    <w:abstractNumId w:val="34"/>
  </w:num>
  <w:num w:numId="43">
    <w:abstractNumId w:val="16"/>
  </w:num>
  <w:num w:numId="44">
    <w:abstractNumId w:val="33"/>
  </w:num>
  <w:num w:numId="45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6F71"/>
    <w:rsid w:val="0004561E"/>
    <w:rsid w:val="00066419"/>
    <w:rsid w:val="0007277F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221D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0051"/>
    <w:rsid w:val="001A1E9A"/>
    <w:rsid w:val="001B2E3C"/>
    <w:rsid w:val="001D3419"/>
    <w:rsid w:val="001F2F7A"/>
    <w:rsid w:val="001F5F0C"/>
    <w:rsid w:val="00202419"/>
    <w:rsid w:val="00214848"/>
    <w:rsid w:val="00220DA2"/>
    <w:rsid w:val="00226E32"/>
    <w:rsid w:val="00230D7C"/>
    <w:rsid w:val="00245CF5"/>
    <w:rsid w:val="00247365"/>
    <w:rsid w:val="00247AB9"/>
    <w:rsid w:val="002628DA"/>
    <w:rsid w:val="00262E04"/>
    <w:rsid w:val="002641D8"/>
    <w:rsid w:val="00271CC0"/>
    <w:rsid w:val="002770B5"/>
    <w:rsid w:val="002854E4"/>
    <w:rsid w:val="002A6657"/>
    <w:rsid w:val="002A7850"/>
    <w:rsid w:val="002C0055"/>
    <w:rsid w:val="002D78E9"/>
    <w:rsid w:val="002E1416"/>
    <w:rsid w:val="002F134D"/>
    <w:rsid w:val="002F7284"/>
    <w:rsid w:val="00302287"/>
    <w:rsid w:val="00306B07"/>
    <w:rsid w:val="003139E3"/>
    <w:rsid w:val="00315BE7"/>
    <w:rsid w:val="00322761"/>
    <w:rsid w:val="003264B1"/>
    <w:rsid w:val="00331571"/>
    <w:rsid w:val="00334610"/>
    <w:rsid w:val="00357DDE"/>
    <w:rsid w:val="00363D1D"/>
    <w:rsid w:val="00367F65"/>
    <w:rsid w:val="00375149"/>
    <w:rsid w:val="003803C1"/>
    <w:rsid w:val="00383FC8"/>
    <w:rsid w:val="0039749F"/>
    <w:rsid w:val="00397906"/>
    <w:rsid w:val="003A7C55"/>
    <w:rsid w:val="003B30AE"/>
    <w:rsid w:val="003B6639"/>
    <w:rsid w:val="003D1221"/>
    <w:rsid w:val="003E3BCB"/>
    <w:rsid w:val="003F0EFE"/>
    <w:rsid w:val="003F26F5"/>
    <w:rsid w:val="003F3B75"/>
    <w:rsid w:val="003F5E1E"/>
    <w:rsid w:val="00401A1B"/>
    <w:rsid w:val="00404A50"/>
    <w:rsid w:val="004204BE"/>
    <w:rsid w:val="0042264A"/>
    <w:rsid w:val="004228D3"/>
    <w:rsid w:val="00422EBA"/>
    <w:rsid w:val="004303A6"/>
    <w:rsid w:val="004318F5"/>
    <w:rsid w:val="00431A54"/>
    <w:rsid w:val="0043785A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734F"/>
    <w:rsid w:val="004E2A84"/>
    <w:rsid w:val="004E5E6A"/>
    <w:rsid w:val="004F0454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77B4D"/>
    <w:rsid w:val="00590E8C"/>
    <w:rsid w:val="005B0E01"/>
    <w:rsid w:val="005B12F3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B0518"/>
    <w:rsid w:val="006C794B"/>
    <w:rsid w:val="006E1616"/>
    <w:rsid w:val="006E5292"/>
    <w:rsid w:val="006F286F"/>
    <w:rsid w:val="006F55FF"/>
    <w:rsid w:val="006F5C43"/>
    <w:rsid w:val="006F6532"/>
    <w:rsid w:val="007000B1"/>
    <w:rsid w:val="00701B89"/>
    <w:rsid w:val="00702AF7"/>
    <w:rsid w:val="00713737"/>
    <w:rsid w:val="007232B9"/>
    <w:rsid w:val="00726B27"/>
    <w:rsid w:val="00734722"/>
    <w:rsid w:val="00736DE5"/>
    <w:rsid w:val="007429D1"/>
    <w:rsid w:val="00770FDB"/>
    <w:rsid w:val="007753E7"/>
    <w:rsid w:val="00780537"/>
    <w:rsid w:val="007825AB"/>
    <w:rsid w:val="00786A84"/>
    <w:rsid w:val="00790017"/>
    <w:rsid w:val="00792BC0"/>
    <w:rsid w:val="007937C4"/>
    <w:rsid w:val="007959CF"/>
    <w:rsid w:val="00795BAD"/>
    <w:rsid w:val="00795BB3"/>
    <w:rsid w:val="00796EEC"/>
    <w:rsid w:val="007A72BC"/>
    <w:rsid w:val="007B43CC"/>
    <w:rsid w:val="007B6140"/>
    <w:rsid w:val="007E5926"/>
    <w:rsid w:val="007F103F"/>
    <w:rsid w:val="007F410F"/>
    <w:rsid w:val="007F47D2"/>
    <w:rsid w:val="007F5183"/>
    <w:rsid w:val="008003D2"/>
    <w:rsid w:val="008110C4"/>
    <w:rsid w:val="00816A00"/>
    <w:rsid w:val="00822740"/>
    <w:rsid w:val="00822AD2"/>
    <w:rsid w:val="00847A78"/>
    <w:rsid w:val="00854EED"/>
    <w:rsid w:val="00882649"/>
    <w:rsid w:val="008A063E"/>
    <w:rsid w:val="008A2B87"/>
    <w:rsid w:val="008A4857"/>
    <w:rsid w:val="008A74DC"/>
    <w:rsid w:val="008B3EE3"/>
    <w:rsid w:val="008E4E38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515AB"/>
    <w:rsid w:val="00957F79"/>
    <w:rsid w:val="00963B4F"/>
    <w:rsid w:val="00986F2A"/>
    <w:rsid w:val="00991B37"/>
    <w:rsid w:val="009A4F6B"/>
    <w:rsid w:val="009B1E2C"/>
    <w:rsid w:val="009B424B"/>
    <w:rsid w:val="009C78A3"/>
    <w:rsid w:val="009D472F"/>
    <w:rsid w:val="009E3AC0"/>
    <w:rsid w:val="009E6639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7DFE"/>
    <w:rsid w:val="00B149E2"/>
    <w:rsid w:val="00B165B5"/>
    <w:rsid w:val="00B4416B"/>
    <w:rsid w:val="00B51788"/>
    <w:rsid w:val="00B7726C"/>
    <w:rsid w:val="00B868EF"/>
    <w:rsid w:val="00B916BA"/>
    <w:rsid w:val="00BA0407"/>
    <w:rsid w:val="00BA07E2"/>
    <w:rsid w:val="00BB2218"/>
    <w:rsid w:val="00BB3953"/>
    <w:rsid w:val="00BB4CA7"/>
    <w:rsid w:val="00BB649D"/>
    <w:rsid w:val="00BC1903"/>
    <w:rsid w:val="00BD1591"/>
    <w:rsid w:val="00BD6423"/>
    <w:rsid w:val="00BE7EA2"/>
    <w:rsid w:val="00BF34B7"/>
    <w:rsid w:val="00C01937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1AA5"/>
    <w:rsid w:val="00C73CEE"/>
    <w:rsid w:val="00C75913"/>
    <w:rsid w:val="00C76FED"/>
    <w:rsid w:val="00C86C70"/>
    <w:rsid w:val="00C90997"/>
    <w:rsid w:val="00CA2774"/>
    <w:rsid w:val="00CA72CC"/>
    <w:rsid w:val="00CC749B"/>
    <w:rsid w:val="00CD3ABE"/>
    <w:rsid w:val="00CD63F1"/>
    <w:rsid w:val="00CD77CC"/>
    <w:rsid w:val="00CE188C"/>
    <w:rsid w:val="00CE740F"/>
    <w:rsid w:val="00CF14CB"/>
    <w:rsid w:val="00CF477B"/>
    <w:rsid w:val="00D06567"/>
    <w:rsid w:val="00D26FFF"/>
    <w:rsid w:val="00D31C7F"/>
    <w:rsid w:val="00D355F0"/>
    <w:rsid w:val="00D36717"/>
    <w:rsid w:val="00D51F1A"/>
    <w:rsid w:val="00D57771"/>
    <w:rsid w:val="00D57B2B"/>
    <w:rsid w:val="00D6405D"/>
    <w:rsid w:val="00D70392"/>
    <w:rsid w:val="00D7346C"/>
    <w:rsid w:val="00D77F80"/>
    <w:rsid w:val="00D82E16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04A41"/>
    <w:rsid w:val="00E24F53"/>
    <w:rsid w:val="00E271AF"/>
    <w:rsid w:val="00E30DF4"/>
    <w:rsid w:val="00E333D5"/>
    <w:rsid w:val="00E3443A"/>
    <w:rsid w:val="00E36619"/>
    <w:rsid w:val="00E42CB5"/>
    <w:rsid w:val="00E5051F"/>
    <w:rsid w:val="00E674D6"/>
    <w:rsid w:val="00E7025F"/>
    <w:rsid w:val="00E73DBB"/>
    <w:rsid w:val="00E77B6B"/>
    <w:rsid w:val="00E867B5"/>
    <w:rsid w:val="00E94C83"/>
    <w:rsid w:val="00EB1419"/>
    <w:rsid w:val="00EB1B9E"/>
    <w:rsid w:val="00EB6D04"/>
    <w:rsid w:val="00EC3833"/>
    <w:rsid w:val="00ED3267"/>
    <w:rsid w:val="00ED4CA8"/>
    <w:rsid w:val="00ED6B2A"/>
    <w:rsid w:val="00EE6DAF"/>
    <w:rsid w:val="00EF71E8"/>
    <w:rsid w:val="00EF76A4"/>
    <w:rsid w:val="00F20966"/>
    <w:rsid w:val="00F20DB2"/>
    <w:rsid w:val="00F24901"/>
    <w:rsid w:val="00F308EC"/>
    <w:rsid w:val="00F35695"/>
    <w:rsid w:val="00F372AB"/>
    <w:rsid w:val="00F41488"/>
    <w:rsid w:val="00F443DE"/>
    <w:rsid w:val="00F57275"/>
    <w:rsid w:val="00F57C1F"/>
    <w:rsid w:val="00F57D4C"/>
    <w:rsid w:val="00F63165"/>
    <w:rsid w:val="00F76A81"/>
    <w:rsid w:val="00F94CE5"/>
    <w:rsid w:val="00FA1A82"/>
    <w:rsid w:val="00FA7D55"/>
    <w:rsid w:val="00FD4466"/>
    <w:rsid w:val="00FD4A88"/>
    <w:rsid w:val="00FE2D29"/>
    <w:rsid w:val="00FF0FBD"/>
    <w:rsid w:val="00FF25A4"/>
    <w:rsid w:val="00FF413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9E77-2188-4BDF-8786-45F7B7C0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5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71</cp:revision>
  <cp:lastPrinted>2022-05-12T01:44:00Z</cp:lastPrinted>
  <dcterms:created xsi:type="dcterms:W3CDTF">2018-12-20T06:17:00Z</dcterms:created>
  <dcterms:modified xsi:type="dcterms:W3CDTF">2023-06-30T07:46:00Z</dcterms:modified>
</cp:coreProperties>
</file>